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17 380/168 vom 28. Juni 2018</w:t>
      </w:r>
    </w:p>
    <w:p>
      <w:r>
        <w:t>BL Gerichte, 2018-06-28, DE</w:t>
      </w:r>
    </w:p>
    <w:p>
      <w:r>
        <w:rPr>
          <w:b/>
        </w:rPr>
        <w:t xml:space="preserve">Quelle: </w:t>
      </w:r>
      <w:r>
        <w:t>https://mcp.opencaselaw.ch/entscheid/bl_gerichte_720 17 380_168</w:t>
      </w:r>
    </w:p>
    <w:p>
      <w:r>
        <w:t>FR: BL_GERICHTE 720 17 380/168 du 28 juin 2018</w:t>
      </w:r>
    </w:p>
    <w:p>
      <w:r>
        <w:t>IT: BL_GERICHTE 720 17 380/168 del 28 giugno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frist- und formgerecht erhobene Beschwerde vom 15. November 2017 ist demnach einzutreten.</w:t>
      </w:r>
    </w:p>
    <w:p>
      <w:r>
        <w:rPr>
          <w:b/>
        </w:rPr>
        <w:t>E. 2</w:t>
      </w:r>
    </w:p>
    <w:p>
      <w:r>
        <w:t>Die Verfahrenskosten in Höhe von Fr. 800.-- werden der Beschwerdeführerin auferlegt und mit dem Kostenvorschuss in Höhe von Fr. 800.-- verrechnet.</w:t>
      </w:r>
    </w:p>
    <w:p>
      <w:r>
        <w:rPr>
          <w:b/>
        </w:rPr>
        <w:t>E. 3</w:t>
      </w:r>
    </w:p>
    <w:p>
      <w:r>
        <w:t>Die ausserordentlichen Kosten werden wettgeschlagen. Gegen diesen Entscheid wurde von der Beschwerdeführerin am 25. September 2018 Beschwerde beim Bundesgericht (vgl. nach Vorliegend des Urteils: 9C_745/2018)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